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532BA" w14:textId="294EB7D8" w:rsidR="00925962" w:rsidRPr="00462670" w:rsidRDefault="00462670" w:rsidP="00462670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462670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34B22308" wp14:editId="7B19DA0B">
            <wp:simplePos x="0" y="0"/>
            <wp:positionH relativeFrom="margin">
              <wp:posOffset>0</wp:posOffset>
            </wp:positionH>
            <wp:positionV relativeFrom="paragraph">
              <wp:posOffset>171450</wp:posOffset>
            </wp:positionV>
            <wp:extent cx="6431280" cy="758190"/>
            <wp:effectExtent l="0" t="0" r="7620" b="3810"/>
            <wp:wrapTight wrapText="bothSides">
              <wp:wrapPolygon edited="0">
                <wp:start x="0" y="0"/>
                <wp:lineTo x="0" y="21166"/>
                <wp:lineTo x="21562" y="21166"/>
                <wp:lineTo x="2156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CF9" w:rsidRPr="00462670">
        <w:rPr>
          <w:rFonts w:ascii="Times New Roman" w:hAnsi="Times New Roman" w:cs="Times New Roman"/>
          <w:sz w:val="20"/>
          <w:szCs w:val="20"/>
        </w:rPr>
        <w:tab/>
      </w:r>
      <w:r w:rsidR="00592CF9" w:rsidRPr="00462670">
        <w:rPr>
          <w:rFonts w:ascii="Times New Roman" w:hAnsi="Times New Roman" w:cs="Times New Roman"/>
          <w:sz w:val="20"/>
          <w:szCs w:val="20"/>
        </w:rPr>
        <w:tab/>
      </w:r>
      <w:r w:rsidR="00592CF9" w:rsidRPr="00462670">
        <w:rPr>
          <w:rFonts w:ascii="Times New Roman" w:hAnsi="Times New Roman" w:cs="Times New Roman"/>
          <w:sz w:val="20"/>
          <w:szCs w:val="20"/>
        </w:rPr>
        <w:tab/>
      </w:r>
      <w:r w:rsidR="00592CF9" w:rsidRPr="00462670">
        <w:rPr>
          <w:rFonts w:ascii="Times New Roman" w:hAnsi="Times New Roman" w:cs="Times New Roman"/>
          <w:sz w:val="20"/>
          <w:szCs w:val="20"/>
        </w:rPr>
        <w:tab/>
      </w:r>
    </w:p>
    <w:p w14:paraId="0803609A" w14:textId="7A6F8BF2" w:rsidR="006148F5" w:rsidRPr="00462670" w:rsidRDefault="00462670" w:rsidP="0046267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E2717AD" w14:textId="0A2ADC36" w:rsidR="006148F5" w:rsidRDefault="006148F5" w:rsidP="004626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F79E7B1" w14:textId="77777777" w:rsidR="00FA6233" w:rsidRPr="006D41B9" w:rsidRDefault="00FA6233" w:rsidP="00FA6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>Model Policy on Eyewitness</w:t>
      </w:r>
      <w:bookmarkStart w:id="0" w:name="_GoBack"/>
      <w:bookmarkEnd w:id="0"/>
      <w:r w:rsidRPr="006D41B9">
        <w:rPr>
          <w:rFonts w:ascii="Times New Roman" w:hAnsi="Times New Roman" w:cs="Times New Roman"/>
          <w:sz w:val="24"/>
          <w:szCs w:val="24"/>
        </w:rPr>
        <w:t xml:space="preserve"> Identification</w:t>
      </w:r>
    </w:p>
    <w:p w14:paraId="52BA31BD" w14:textId="77777777" w:rsidR="00FA6233" w:rsidRDefault="00FA6233" w:rsidP="00FA6233">
      <w:pPr>
        <w:jc w:val="center"/>
        <w:rPr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>Frequently Asked Questions</w:t>
      </w:r>
    </w:p>
    <w:p w14:paraId="4C130197" w14:textId="77777777" w:rsidR="00FA6233" w:rsidRPr="009C12ED" w:rsidRDefault="00FA6233" w:rsidP="00FA62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Updated January 2017</w:t>
      </w:r>
    </w:p>
    <w:p w14:paraId="1030E735" w14:textId="77777777" w:rsidR="00FA6233" w:rsidRPr="006D41B9" w:rsidRDefault="00FA6233" w:rsidP="00FA6233">
      <w:pPr>
        <w:rPr>
          <w:rFonts w:ascii="Times New Roman" w:hAnsi="Times New Roman" w:cs="Times New Roman"/>
          <w:sz w:val="24"/>
          <w:szCs w:val="24"/>
        </w:rPr>
      </w:pPr>
    </w:p>
    <w:p w14:paraId="3F229E91" w14:textId="77777777" w:rsidR="00FA6233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proofErr w:type="gramStart"/>
      <w:r>
        <w:rPr>
          <w:rFonts w:ascii="Times New Roman" w:hAnsi="Times New Roman" w:cs="Times New Roman"/>
          <w:sz w:val="24"/>
          <w:szCs w:val="24"/>
        </w:rPr>
        <w:t>has this FAQ document been updated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14:paraId="2E29F100" w14:textId="77777777" w:rsidR="00FA6233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A0F5C0D" w14:textId="77777777" w:rsidR="00FA6233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>Article 38.20 of the Texas Code of Criminal Procedure</w:t>
      </w:r>
      <w:r>
        <w:rPr>
          <w:rFonts w:ascii="Times New Roman" w:hAnsi="Times New Roman" w:cs="Times New Roman"/>
          <w:sz w:val="24"/>
          <w:szCs w:val="24"/>
        </w:rPr>
        <w:t xml:space="preserve"> requires the Bill Blackwood Law Enforcement Management Institute of Texas to review and, modify if necessary, the eyewitness identification model policy by December 31 of each odd-cumbered year.  Law enforcement agencies are required to review, and if necessary modify, eyewitness identification policies by September 1 in each even-numbered year.</w:t>
      </w:r>
    </w:p>
    <w:p w14:paraId="5A4B2A66" w14:textId="77777777" w:rsidR="00FA6233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0A6766E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>Do I have to adopt the LEMIT model policy?</w:t>
      </w:r>
    </w:p>
    <w:p w14:paraId="5D1A1899" w14:textId="77777777" w:rsidR="00FA6233" w:rsidRPr="006D41B9" w:rsidRDefault="00FA6233" w:rsidP="00FA6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2EA017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</w:t>
      </w:r>
      <w:proofErr w:type="gramStart"/>
      <w:r w:rsidRPr="006D41B9">
        <w:rPr>
          <w:rFonts w:ascii="Times New Roman" w:hAnsi="Times New Roman" w:cs="Times New Roman"/>
          <w:sz w:val="24"/>
          <w:szCs w:val="24"/>
        </w:rPr>
        <w:t xml:space="preserve">Article 38.20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§ 2 </w:t>
      </w:r>
      <w:r w:rsidRPr="006D41B9">
        <w:rPr>
          <w:rFonts w:ascii="Times New Roman" w:hAnsi="Times New Roman" w:cs="Times New Roman"/>
          <w:sz w:val="24"/>
          <w:szCs w:val="24"/>
        </w:rPr>
        <w:t xml:space="preserve">of the Texas Code of Criminal Procedure requires that any “law enforcement agency of this state or of a county, municipality, or other political subdivision of this state that </w:t>
      </w:r>
      <w:bookmarkStart w:id="1" w:name="ORIGHIT_1"/>
      <w:bookmarkStart w:id="2" w:name="HIT_1"/>
      <w:bookmarkEnd w:id="1"/>
      <w:bookmarkEnd w:id="2"/>
      <w:r w:rsidRPr="006D41B9">
        <w:rPr>
          <w:rFonts w:ascii="Times New Roman" w:hAnsi="Times New Roman" w:cs="Times New Roman"/>
          <w:sz w:val="24"/>
          <w:szCs w:val="24"/>
        </w:rPr>
        <w:t>employs peace officers who conduct photograph or live lineup identification procedures in the routine performance of the officers' official duties” to “adopt, implement, and as necessary amend a detailed written policy regarding the administration of photograph and live lineup identification procedures.”</w:t>
      </w:r>
      <w:proofErr w:type="gramEnd"/>
      <w:r w:rsidRPr="006D41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C06B86" w14:textId="77777777" w:rsidR="00FA6233" w:rsidRPr="006D41B9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40E9AD00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 xml:space="preserve">The LEMIT model policy was drafted in response to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§ </w:t>
      </w:r>
      <w:r w:rsidRPr="006D41B9">
        <w:rPr>
          <w:rFonts w:ascii="Times New Roman" w:hAnsi="Times New Roman" w:cs="Times New Roman"/>
          <w:sz w:val="24"/>
          <w:szCs w:val="24"/>
        </w:rPr>
        <w:t xml:space="preserve">3(b) of the </w:t>
      </w:r>
      <w:r>
        <w:rPr>
          <w:rFonts w:ascii="Times New Roman" w:hAnsi="Times New Roman" w:cs="Times New Roman"/>
          <w:sz w:val="24"/>
          <w:szCs w:val="24"/>
        </w:rPr>
        <w:t xml:space="preserve">Texas </w:t>
      </w:r>
      <w:r w:rsidRPr="006D41B9">
        <w:rPr>
          <w:rFonts w:ascii="Times New Roman" w:hAnsi="Times New Roman" w:cs="Times New Roman"/>
          <w:sz w:val="24"/>
          <w:szCs w:val="24"/>
        </w:rPr>
        <w:t>Code of Criminal Procedure, which required LEMIT to “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develop, adopt, and disseminate to all law enforcement agencies in this state a model policy… regarding the administration of photograph and live lineup identification procedures.” </w:t>
      </w:r>
    </w:p>
    <w:p w14:paraId="5F9EB11D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65FD96C0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Thus, agencies are required to adopt a policy pursuant to §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2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and LEMIT was required to develop a 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model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policy, pursuant to § 3.</w:t>
      </w:r>
    </w:p>
    <w:p w14:paraId="4C8D2F32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5F587D22" w14:textId="77777777" w:rsidR="00FA6233" w:rsidRPr="006D41B9" w:rsidRDefault="00FA6233" w:rsidP="00FA6233">
      <w:pPr>
        <w:pStyle w:val="ListParagraph"/>
        <w:ind w:left="1440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</w:t>
      </w:r>
    </w:p>
    <w:p w14:paraId="60C577BD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lastRenderedPageBreak/>
        <w:t xml:space="preserve">Some witnesses may refuse to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be recorded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out of fear for their safety and some victims may be too fragile to be video recorded.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Won’t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this policy put them at risk or further traumatize them?</w:t>
      </w:r>
    </w:p>
    <w:p w14:paraId="128F6734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2276EBB1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verdana"/>
          <w:rFonts w:ascii="Times New Roman" w:hAnsi="Times New Roman" w:cs="Times New Roman"/>
          <w:sz w:val="24"/>
          <w:szCs w:val="24"/>
        </w:rPr>
        <w:t>The welfare of v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ictims and witnesses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 is paramount.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If the victim or witness refuses to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be recorded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or recording would place the victim or witness at risk, then the procedure can be documented in writing. Under these circu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mstances, the model policy </w:t>
      </w:r>
      <w:proofErr w:type="gramStart"/>
      <w:r>
        <w:rPr>
          <w:rStyle w:val="verdana"/>
          <w:rFonts w:ascii="Times New Roman" w:hAnsi="Times New Roman" w:cs="Times New Roman"/>
          <w:sz w:val="24"/>
          <w:szCs w:val="24"/>
        </w:rPr>
        <w:t>indicat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es </w:t>
      </w:r>
      <w:r>
        <w:rPr>
          <w:rStyle w:val="verdana"/>
          <w:rFonts w:ascii="Times New Roman" w:hAnsi="Times New Roman" w:cs="Times New Roman"/>
          <w:sz w:val="24"/>
          <w:szCs w:val="24"/>
        </w:rPr>
        <w:t>that</w:t>
      </w:r>
      <w:proofErr w:type="gramEnd"/>
      <w:r>
        <w:rPr>
          <w:rStyle w:val="verdana"/>
          <w:rFonts w:ascii="Times New Roman" w:hAnsi="Times New Roman" w:cs="Times New Roman"/>
          <w:sz w:val="24"/>
          <w:szCs w:val="24"/>
        </w:rPr>
        <w:t xml:space="preserve">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“</w:t>
      </w:r>
      <w:r w:rsidRPr="006D41B9">
        <w:rPr>
          <w:rFonts w:ascii="Times New Roman" w:hAnsi="Times New Roman" w:cs="Times New Roman"/>
          <w:sz w:val="24"/>
          <w:szCs w:val="24"/>
        </w:rPr>
        <w:t xml:space="preserve">the reason for not video or audio recording should be documented.” </w:t>
      </w:r>
    </w:p>
    <w:p w14:paraId="473CA8D0" w14:textId="77777777" w:rsidR="00FA6233" w:rsidRPr="006D41B9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250049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41B9">
        <w:rPr>
          <w:rFonts w:ascii="Times New Roman" w:hAnsi="Times New Roman" w:cs="Times New Roman"/>
          <w:sz w:val="24"/>
          <w:szCs w:val="24"/>
        </w:rPr>
        <w:t xml:space="preserve">Because actual recordings are very persuasive, reluctant victims--who clearly have a stake in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6D41B9">
        <w:rPr>
          <w:rFonts w:ascii="Times New Roman" w:hAnsi="Times New Roman" w:cs="Times New Roman"/>
          <w:sz w:val="24"/>
          <w:szCs w:val="24"/>
        </w:rPr>
        <w:t xml:space="preserve">successful prosecution of guilty offenders-- should be informed that actual recordings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likely</w:t>
      </w:r>
      <w:r w:rsidRPr="006D41B9">
        <w:rPr>
          <w:rFonts w:ascii="Times New Roman" w:hAnsi="Times New Roman" w:cs="Times New Roman"/>
          <w:sz w:val="24"/>
          <w:szCs w:val="24"/>
        </w:rPr>
        <w:t xml:space="preserve"> carry greater weight in court. </w:t>
      </w:r>
    </w:p>
    <w:p w14:paraId="0F88F0BA" w14:textId="77777777" w:rsidR="00FA6233" w:rsidRPr="006D41B9" w:rsidRDefault="00FA6233" w:rsidP="00FA6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87BAF5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we need to use </w:t>
      </w:r>
      <w:r w:rsidRPr="006D41B9">
        <w:rPr>
          <w:rFonts w:ascii="Times New Roman" w:hAnsi="Times New Roman" w:cs="Times New Roman"/>
          <w:sz w:val="24"/>
          <w:szCs w:val="24"/>
        </w:rPr>
        <w:t>the sequential method?</w:t>
      </w:r>
    </w:p>
    <w:p w14:paraId="591C02FF" w14:textId="77777777" w:rsidR="00FA6233" w:rsidRPr="006D41B9" w:rsidRDefault="00FA6233" w:rsidP="00FA6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2ABE11B" w14:textId="77777777" w:rsidR="00FA6233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Pr="006D41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2013 and 2014 a committee of the National Academies of Science conducted a comprehensive review of the existing research evidence and concludes that one method (i.e., sequential and simultaneous) is not superior to the other</w:t>
      </w:r>
      <w:r w:rsidRPr="006D41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addition, a large-scale field experiment conducted by researchers at LEMIT and the Houston Police Department in 2013 found no differences between sequential and simultaneous methods in terms of identification outcomes.</w:t>
      </w:r>
    </w:p>
    <w:p w14:paraId="36E794F0" w14:textId="77777777" w:rsidR="00FA6233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6D4983A4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Simultaneous administration methods that contain the other procedural elements in the model policy </w:t>
      </w:r>
      <w:proofErr w:type="gramStart"/>
      <w:r>
        <w:rPr>
          <w:rFonts w:ascii="Times New Roman" w:hAnsi="Times New Roman" w:cs="Times New Roman"/>
          <w:sz w:val="24"/>
          <w:szCs w:val="24"/>
        </w:rPr>
        <w:t>are 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acceptable practices.</w:t>
      </w:r>
    </w:p>
    <w:p w14:paraId="384C1D38" w14:textId="77777777" w:rsidR="00FA6233" w:rsidRPr="006D41B9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5B09C3E2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>
        <w:rPr>
          <w:rStyle w:val="verdana"/>
          <w:rFonts w:ascii="Times New Roman" w:hAnsi="Times New Roman" w:cs="Times New Roman"/>
          <w:sz w:val="24"/>
          <w:szCs w:val="24"/>
        </w:rPr>
        <w:t>Our resources are so limited we do not have sufficient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personnel to conduct blind administrations of lineups and photo arrays. Is blind administration that important?</w:t>
      </w:r>
    </w:p>
    <w:p w14:paraId="20ACAD70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1B867097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Yes. Decades of research 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show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that people “leak” information. Despite their best efforts, administrators who are not blind may inadvertently communicate information about the suspect. Although we typically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 are not aware of subtle cues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, even animals are able to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pick up on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these unintentional cues (see the “Clever Hans effect”).</w:t>
      </w:r>
    </w:p>
    <w:p w14:paraId="0F9A0E9A" w14:textId="77777777" w:rsidR="00FA6233" w:rsidRPr="006D41B9" w:rsidRDefault="00FA6233" w:rsidP="00FA6233">
      <w:pPr>
        <w:pStyle w:val="ListParagraph"/>
        <w:ind w:left="1440"/>
        <w:rPr>
          <w:rStyle w:val="verdana"/>
          <w:rFonts w:ascii="Times New Roman" w:hAnsi="Times New Roman" w:cs="Times New Roman"/>
          <w:sz w:val="24"/>
          <w:szCs w:val="24"/>
        </w:rPr>
      </w:pPr>
    </w:p>
    <w:p w14:paraId="242ED0D6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Photo arrays are much more common than live lineups and, if resources are limited, a properly conducted blinded procedure is just as effective as a blind procedure and 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it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requires no additional resources.</w:t>
      </w:r>
    </w:p>
    <w:p w14:paraId="330E5FA2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4977A50A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>If the procedure will be a live lineup, then consider using non-sworn personnel or getting assistance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 from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verdana"/>
          <w:rFonts w:ascii="Times New Roman" w:hAnsi="Times New Roman" w:cs="Times New Roman"/>
          <w:sz w:val="24"/>
          <w:szCs w:val="24"/>
        </w:rPr>
        <w:t>or working in partnership with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another agency.</w:t>
      </w:r>
    </w:p>
    <w:p w14:paraId="0E034CA6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2FA031E1" w14:textId="77777777" w:rsidR="00FA6233" w:rsidRPr="006D41B9" w:rsidRDefault="00FA6233" w:rsidP="00FA6233">
      <w:pPr>
        <w:pStyle w:val="ListParagraph"/>
        <w:ind w:left="1440"/>
        <w:rPr>
          <w:rStyle w:val="verdana"/>
          <w:rFonts w:ascii="Times New Roman" w:hAnsi="Times New Roman" w:cs="Times New Roman"/>
          <w:sz w:val="24"/>
          <w:szCs w:val="24"/>
        </w:rPr>
      </w:pPr>
    </w:p>
    <w:p w14:paraId="2FA659B5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Our detectives go to great lengths to establish good rapport with witnesses and victims.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Isn’t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“handing off” our witness or victim to a blind administrator</w:t>
      </w:r>
      <w:r>
        <w:rPr>
          <w:rStyle w:val="verdana"/>
          <w:rFonts w:ascii="Times New Roman" w:hAnsi="Times New Roman" w:cs="Times New Roman"/>
          <w:sz w:val="24"/>
          <w:szCs w:val="24"/>
        </w:rPr>
        <w:t>,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whom they don’t know or trust</w:t>
      </w:r>
      <w:r>
        <w:rPr>
          <w:rStyle w:val="verdana"/>
          <w:rFonts w:ascii="Times New Roman" w:hAnsi="Times New Roman" w:cs="Times New Roman"/>
          <w:sz w:val="24"/>
          <w:szCs w:val="24"/>
        </w:rPr>
        <w:t>,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insensitive to their needs?</w:t>
      </w:r>
    </w:p>
    <w:p w14:paraId="1BCC4DD9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07D33030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>
        <w:rPr>
          <w:rStyle w:val="verdana"/>
          <w:rFonts w:ascii="Times New Roman" w:hAnsi="Times New Roman" w:cs="Times New Roman"/>
          <w:sz w:val="24"/>
          <w:szCs w:val="24"/>
        </w:rPr>
        <w:t xml:space="preserve">No.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The administrator of a blind procedure 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Style w:val="verdana"/>
          <w:rFonts w:ascii="Times New Roman" w:hAnsi="Times New Roman" w:cs="Times New Roman"/>
          <w:sz w:val="24"/>
          <w:szCs w:val="24"/>
        </w:rPr>
        <w:t>is properly trained</w:t>
      </w:r>
      <w:proofErr w:type="gramEnd"/>
      <w:r>
        <w:rPr>
          <w:rStyle w:val="verdana"/>
          <w:rFonts w:ascii="Times New Roman" w:hAnsi="Times New Roman" w:cs="Times New Roman"/>
          <w:sz w:val="24"/>
          <w:szCs w:val="24"/>
        </w:rPr>
        <w:t xml:space="preserve"> can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>be just as sensitive to the witness’s needs as the detective is. Victims and witnesses regularly interact with criminal justice professionals other than detectives, including physicians and nurses who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 collect evidence for rape kits;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Child Protective Service workers in cases involvin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g children who </w:t>
      </w:r>
      <w:proofErr w:type="gramStart"/>
      <w:r>
        <w:rPr>
          <w:rStyle w:val="verdana"/>
          <w:rFonts w:ascii="Times New Roman" w:hAnsi="Times New Roman" w:cs="Times New Roman"/>
          <w:sz w:val="24"/>
          <w:szCs w:val="24"/>
        </w:rPr>
        <w:t>have been abused</w:t>
      </w:r>
      <w:proofErr w:type="gramEnd"/>
      <w:r>
        <w:rPr>
          <w:rStyle w:val="verdana"/>
          <w:rFonts w:ascii="Times New Roman" w:hAnsi="Times New Roman" w:cs="Times New Roman"/>
          <w:sz w:val="24"/>
          <w:szCs w:val="24"/>
        </w:rPr>
        <w:t>;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Assistant District Attorneys who must prepare witnesses for court</w:t>
      </w:r>
      <w:r>
        <w:rPr>
          <w:rStyle w:val="verdana"/>
          <w:rFonts w:ascii="Times New Roman" w:hAnsi="Times New Roman" w:cs="Times New Roman"/>
          <w:sz w:val="24"/>
          <w:szCs w:val="24"/>
        </w:rPr>
        <w:t>;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and a host of others. The decision to conduct a non-blind administration in the interest of maintaining rapport </w:t>
      </w:r>
      <w:proofErr w:type="gramStart"/>
      <w:r w:rsidRPr="006D41B9">
        <w:rPr>
          <w:rStyle w:val="verdana"/>
          <w:rFonts w:ascii="Times New Roman" w:hAnsi="Times New Roman" w:cs="Times New Roman"/>
          <w:sz w:val="24"/>
          <w:szCs w:val="24"/>
        </w:rPr>
        <w:t>should be undertaken</w:t>
      </w:r>
      <w:proofErr w:type="gramEnd"/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 with the knowledge that doing so may sacrifice the validity of the procedure.</w:t>
      </w:r>
    </w:p>
    <w:p w14:paraId="4BEC574F" w14:textId="77777777" w:rsidR="00FA6233" w:rsidRPr="006D41B9" w:rsidRDefault="00FA6233" w:rsidP="00FA6233">
      <w:pPr>
        <w:pStyle w:val="ListParagraph"/>
        <w:ind w:left="1440"/>
        <w:rPr>
          <w:rStyle w:val="verdana"/>
          <w:rFonts w:ascii="Times New Roman" w:hAnsi="Times New Roman" w:cs="Times New Roman"/>
          <w:sz w:val="24"/>
          <w:szCs w:val="24"/>
        </w:rPr>
      </w:pPr>
    </w:p>
    <w:p w14:paraId="44DE628B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>Do we have to use a court-certified interpreter every time we conduct an eyewitness identification procedure with someone who speaks a language other than English?</w:t>
      </w:r>
    </w:p>
    <w:p w14:paraId="2277371B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5289BAA8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>No. We realize that different communities have varying levels of interpretation resources. Moreover, even in communities where court-certified interpreters are abundant, they may not be easily accessible for a show-up conducted at 3:00 am. Consequently, the policy allows for some flexibility. Administrators should be thoughtful about whom to use for this purpose.</w:t>
      </w:r>
    </w:p>
    <w:p w14:paraId="08CAB38C" w14:textId="77777777" w:rsidR="00FA6233" w:rsidRPr="006D41B9" w:rsidRDefault="00FA6233" w:rsidP="00FA6233">
      <w:pPr>
        <w:pStyle w:val="ListParagraph"/>
        <w:ind w:left="1440"/>
        <w:rPr>
          <w:rStyle w:val="verdana"/>
          <w:rFonts w:ascii="Times New Roman" w:hAnsi="Times New Roman" w:cs="Times New Roman"/>
          <w:sz w:val="24"/>
          <w:szCs w:val="24"/>
        </w:rPr>
      </w:pPr>
    </w:p>
    <w:p w14:paraId="6356C6A4" w14:textId="77777777" w:rsidR="00FA6233" w:rsidRPr="006D41B9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>Why do we have to allow defense attorneys to attend certain lineups when the policy says nobody should be present who knows which person is the suspect?</w:t>
      </w:r>
    </w:p>
    <w:p w14:paraId="130F780B" w14:textId="77777777" w:rsidR="00FA6233" w:rsidRPr="006D41B9" w:rsidRDefault="00FA6233" w:rsidP="00FA6233">
      <w:pPr>
        <w:pStyle w:val="ListParagraph"/>
        <w:rPr>
          <w:rStyle w:val="verdana"/>
          <w:rFonts w:ascii="Times New Roman" w:hAnsi="Times New Roman" w:cs="Times New Roman"/>
          <w:sz w:val="24"/>
          <w:szCs w:val="24"/>
        </w:rPr>
      </w:pPr>
    </w:p>
    <w:p w14:paraId="537CF824" w14:textId="77777777" w:rsidR="00FA6233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The United States Supreme Court </w:t>
      </w:r>
      <w:r>
        <w:rPr>
          <w:rStyle w:val="verdana"/>
          <w:rFonts w:ascii="Times New Roman" w:hAnsi="Times New Roman" w:cs="Times New Roman"/>
          <w:sz w:val="24"/>
          <w:szCs w:val="24"/>
        </w:rPr>
        <w:t xml:space="preserve">decided the issue that way 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(see </w:t>
      </w:r>
      <w:r w:rsidRPr="00E54492">
        <w:rPr>
          <w:rStyle w:val="verdana"/>
          <w:rFonts w:ascii="Times New Roman" w:hAnsi="Times New Roman" w:cs="Times New Roman"/>
          <w:i/>
          <w:sz w:val="24"/>
          <w:szCs w:val="24"/>
        </w:rPr>
        <w:t>Gilbert v. California</w:t>
      </w:r>
      <w:r w:rsidRPr="006D41B9">
        <w:rPr>
          <w:rStyle w:val="verdana"/>
          <w:rFonts w:ascii="Times New Roman" w:hAnsi="Times New Roman" w:cs="Times New Roman"/>
          <w:sz w:val="24"/>
          <w:szCs w:val="24"/>
        </w:rPr>
        <w:t xml:space="preserve">, </w:t>
      </w:r>
      <w:r w:rsidRPr="006D41B9">
        <w:rPr>
          <w:rFonts w:ascii="Times New Roman" w:hAnsi="Times New Roman" w:cs="Times New Roman"/>
          <w:sz w:val="24"/>
          <w:szCs w:val="24"/>
        </w:rPr>
        <w:t>388 U.S. 263, 1967).</w:t>
      </w:r>
    </w:p>
    <w:p w14:paraId="7C48551E" w14:textId="77777777" w:rsidR="00FA6233" w:rsidRDefault="00FA6233" w:rsidP="00FA6233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DF64A25" w14:textId="77777777" w:rsidR="00FA6233" w:rsidRDefault="00FA6233" w:rsidP="00FA6233">
      <w:pPr>
        <w:pStyle w:val="ListParagraph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did LEMIT develop the policy?</w:t>
      </w:r>
    </w:p>
    <w:p w14:paraId="6C875D28" w14:textId="77777777" w:rsidR="00FA6233" w:rsidRDefault="00FA6233" w:rsidP="00FA623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0DC124" w14:textId="77777777" w:rsidR="00FA6233" w:rsidRPr="006D41B9" w:rsidRDefault="00FA6233" w:rsidP="00FA6233">
      <w:pPr>
        <w:pStyle w:val="ListParagraph"/>
        <w:numPr>
          <w:ilvl w:val="1"/>
          <w:numId w:val="1"/>
        </w:numPr>
        <w:spacing w:after="200" w:line="276" w:lineRule="auto"/>
        <w:rPr>
          <w:rStyle w:val="verdana"/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LEMIT convened a working group that canvassed existing policies and research on eyewitness identification to develop a working draft which was then submitted to various stakeholders including: (a) prosecuting attorneys, (b) defense attorneys, (c) a sitting Judge from the Texas Court of Criminal Appeals, (d) non-governmental organization stakeholders, (e) researchers and scholars who have studied the issue for decades, and (f) law enforcement agencies of various sizes.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 received written feedback from many of these stakeholders and many attended a </w:t>
      </w:r>
      <w:proofErr w:type="gramStart"/>
      <w:r>
        <w:rPr>
          <w:rFonts w:ascii="Times New Roman" w:hAnsi="Times New Roman" w:cs="Times New Roman"/>
          <w:sz w:val="24"/>
          <w:szCs w:val="24"/>
        </w:rPr>
        <w:t>day-long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meeting in September at LEMIT. Feedback from this meeting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led to revisions of the policy and the revised policy went back out for public review and </w:t>
      </w:r>
      <w:proofErr w:type="gramStart"/>
      <w:r>
        <w:rPr>
          <w:rFonts w:ascii="Times New Roman" w:hAnsi="Times New Roman" w:cs="Times New Roman"/>
          <w:sz w:val="24"/>
          <w:szCs w:val="24"/>
        </w:rPr>
        <w:t>comment 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included a public hearing in Austin on December 1. Based on that round of comments, the policy </w:t>
      </w:r>
      <w:proofErr w:type="gramStart"/>
      <w:r>
        <w:rPr>
          <w:rFonts w:ascii="Times New Roman" w:hAnsi="Times New Roman" w:cs="Times New Roman"/>
          <w:sz w:val="24"/>
          <w:szCs w:val="24"/>
        </w:rPr>
        <w:t>was 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again and the revised policy was sent to a number of working detectives to provide feedback on clarity and consistency. That feedback led to the final version.</w:t>
      </w:r>
    </w:p>
    <w:p w14:paraId="2984193C" w14:textId="543EFCED" w:rsidR="00791B9D" w:rsidRDefault="00791B9D" w:rsidP="00FA62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91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13298"/>
    <w:multiLevelType w:val="hybridMultilevel"/>
    <w:tmpl w:val="591E5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62"/>
    <w:rsid w:val="00116370"/>
    <w:rsid w:val="00143B6E"/>
    <w:rsid w:val="00152005"/>
    <w:rsid w:val="001936EB"/>
    <w:rsid w:val="001F598A"/>
    <w:rsid w:val="00237CF2"/>
    <w:rsid w:val="002655E0"/>
    <w:rsid w:val="0034755C"/>
    <w:rsid w:val="00357231"/>
    <w:rsid w:val="00462670"/>
    <w:rsid w:val="004B5A5E"/>
    <w:rsid w:val="004F38D3"/>
    <w:rsid w:val="00592CF9"/>
    <w:rsid w:val="006148F5"/>
    <w:rsid w:val="00687A04"/>
    <w:rsid w:val="006F6CB3"/>
    <w:rsid w:val="00715B12"/>
    <w:rsid w:val="00764995"/>
    <w:rsid w:val="00772E1E"/>
    <w:rsid w:val="00791B9D"/>
    <w:rsid w:val="007A0873"/>
    <w:rsid w:val="00925962"/>
    <w:rsid w:val="009E0CD5"/>
    <w:rsid w:val="009F1E86"/>
    <w:rsid w:val="00A63D2F"/>
    <w:rsid w:val="00B25773"/>
    <w:rsid w:val="00B77D05"/>
    <w:rsid w:val="00F01402"/>
    <w:rsid w:val="00FA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23F49"/>
  <w15:chartTrackingRefBased/>
  <w15:docId w15:val="{BBB8FA78-FF9A-4077-8D5C-0B2A3C331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1E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1E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1E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1E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1E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E8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F1E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2CF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936EB"/>
    <w:rPr>
      <w:color w:val="954F72" w:themeColor="followedHyperlink"/>
      <w:u w:val="single"/>
    </w:rPr>
  </w:style>
  <w:style w:type="character" w:customStyle="1" w:styleId="verdana">
    <w:name w:val="verdana"/>
    <w:basedOn w:val="DefaultParagraphFont"/>
    <w:rsid w:val="00FA6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31623-40BE-45B0-8FD3-6D3F3982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D7C4BB9B</Template>
  <TotalTime>1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William</dc:creator>
  <cp:keywords/>
  <dc:description/>
  <cp:lastModifiedBy>Wells, William</cp:lastModifiedBy>
  <cp:revision>2</cp:revision>
  <cp:lastPrinted>2017-03-30T16:54:00Z</cp:lastPrinted>
  <dcterms:created xsi:type="dcterms:W3CDTF">2017-04-03T17:54:00Z</dcterms:created>
  <dcterms:modified xsi:type="dcterms:W3CDTF">2017-04-03T17:54:00Z</dcterms:modified>
</cp:coreProperties>
</file>